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4D" w:rsidRPr="00AC594D" w:rsidRDefault="00AC594D" w:rsidP="00AC594D">
      <w:pPr>
        <w:shd w:val="clear" w:color="auto" w:fill="2B2B2B"/>
        <w:spacing w:before="400" w:after="0" w:line="288" w:lineRule="atLeast"/>
        <w:outlineLvl w:val="0"/>
        <w:rPr>
          <w:rFonts w:ascii="Times New Roman" w:eastAsia="Times New Roman" w:hAnsi="Times New Roman" w:cs="Times New Roman"/>
          <w:color w:val="FFFFFF"/>
          <w:kern w:val="36"/>
          <w:sz w:val="36"/>
          <w:szCs w:val="36"/>
          <w:lang w:val="en-GB" w:eastAsia="fr-BE"/>
        </w:rPr>
      </w:pPr>
      <w:r w:rsidRPr="00AC594D">
        <w:rPr>
          <w:rFonts w:ascii="Times New Roman" w:eastAsia="Times New Roman" w:hAnsi="Times New Roman" w:cs="Times New Roman"/>
          <w:color w:val="FFFFFF"/>
          <w:kern w:val="36"/>
          <w:sz w:val="36"/>
          <w:szCs w:val="36"/>
          <w:lang w:eastAsia="fr-BE"/>
        </w:rPr>
        <w:fldChar w:fldCharType="begin"/>
      </w:r>
      <w:r w:rsidRPr="00AC594D">
        <w:rPr>
          <w:rFonts w:ascii="Times New Roman" w:eastAsia="Times New Roman" w:hAnsi="Times New Roman" w:cs="Times New Roman"/>
          <w:color w:val="FFFFFF"/>
          <w:kern w:val="36"/>
          <w:sz w:val="36"/>
          <w:szCs w:val="36"/>
          <w:lang w:val="en-GB" w:eastAsia="fr-BE"/>
        </w:rPr>
        <w:instrText xml:space="preserve"> HYPERLINK "https://fissilematerials.org/" </w:instrText>
      </w:r>
      <w:r w:rsidRPr="00AC594D">
        <w:rPr>
          <w:rFonts w:ascii="Times New Roman" w:eastAsia="Times New Roman" w:hAnsi="Times New Roman" w:cs="Times New Roman"/>
          <w:color w:val="FFFFFF"/>
          <w:kern w:val="36"/>
          <w:sz w:val="36"/>
          <w:szCs w:val="36"/>
          <w:lang w:eastAsia="fr-BE"/>
        </w:rPr>
        <w:fldChar w:fldCharType="separate"/>
      </w:r>
      <w:r w:rsidRPr="00AC594D">
        <w:rPr>
          <w:rFonts w:ascii="Times New Roman" w:eastAsia="Times New Roman" w:hAnsi="Times New Roman" w:cs="Times New Roman"/>
          <w:color w:val="FFFFFF"/>
          <w:kern w:val="36"/>
          <w:sz w:val="48"/>
          <w:szCs w:val="48"/>
          <w:u w:val="single"/>
          <w:lang w:val="en-GB" w:eastAsia="fr-BE"/>
        </w:rPr>
        <w:t>International Panel on Fissile Materials</w:t>
      </w:r>
      <w:r w:rsidRPr="00AC594D">
        <w:rPr>
          <w:rFonts w:ascii="Times New Roman" w:eastAsia="Times New Roman" w:hAnsi="Times New Roman" w:cs="Times New Roman"/>
          <w:color w:val="FFFFFF"/>
          <w:kern w:val="36"/>
          <w:sz w:val="36"/>
          <w:szCs w:val="36"/>
          <w:lang w:eastAsia="fr-BE"/>
        </w:rPr>
        <w:fldChar w:fldCharType="end"/>
      </w:r>
    </w:p>
    <w:p w:rsidR="00AC594D" w:rsidRPr="00AC594D" w:rsidRDefault="00AC594D" w:rsidP="00AC594D">
      <w:pPr>
        <w:shd w:val="clear" w:color="auto" w:fill="2B2B2B"/>
        <w:spacing w:after="0" w:line="240" w:lineRule="auto"/>
        <w:rPr>
          <w:rFonts w:ascii="san-serif" w:eastAsia="Times New Roman" w:hAnsi="san-serif" w:cs="Times New Roman"/>
          <w:color w:val="FFFFFF"/>
          <w:sz w:val="16"/>
          <w:szCs w:val="16"/>
          <w:lang w:val="en-GB" w:eastAsia="fr-BE"/>
        </w:rPr>
      </w:pPr>
      <w:r w:rsidRPr="00AC594D">
        <w:rPr>
          <w:rFonts w:ascii="san-serif" w:eastAsia="Times New Roman" w:hAnsi="san-serif" w:cs="Times New Roman"/>
          <w:color w:val="FFFFFF"/>
          <w:sz w:val="16"/>
          <w:szCs w:val="16"/>
          <w:lang w:val="en-GB" w:eastAsia="fr-BE"/>
        </w:rPr>
        <w:t>Fostering initiatives to reduce stocks and end the production and use of highly enriched uranium and plutonium</w:t>
      </w:r>
    </w:p>
    <w:p w:rsidR="00AC594D" w:rsidRDefault="00AC594D" w:rsidP="00AC594D">
      <w:pPr>
        <w:shd w:val="clear" w:color="auto" w:fill="F2F2F2"/>
        <w:spacing w:after="72" w:line="192" w:lineRule="atLeast"/>
        <w:outlineLvl w:val="1"/>
        <w:rPr>
          <w:rFonts w:ascii="Arial" w:eastAsia="Times New Roman" w:hAnsi="Arial" w:cs="Arial"/>
          <w:color w:val="7AAB34"/>
          <w:sz w:val="26"/>
          <w:szCs w:val="26"/>
          <w:lang w:eastAsia="fr-BE"/>
        </w:rPr>
      </w:pPr>
    </w:p>
    <w:p w:rsidR="00AC594D" w:rsidRPr="00AC594D" w:rsidRDefault="00AC594D" w:rsidP="00AC594D">
      <w:pPr>
        <w:shd w:val="clear" w:color="auto" w:fill="F2F2F2"/>
        <w:spacing w:after="72" w:line="192" w:lineRule="atLeast"/>
        <w:outlineLvl w:val="1"/>
        <w:rPr>
          <w:rFonts w:ascii="Arial" w:eastAsia="Times New Roman" w:hAnsi="Arial" w:cs="Arial"/>
          <w:color w:val="7AAB34"/>
          <w:sz w:val="26"/>
          <w:szCs w:val="26"/>
          <w:lang w:eastAsia="fr-BE"/>
        </w:rPr>
      </w:pPr>
      <w:r w:rsidRPr="00AC594D">
        <w:rPr>
          <w:rFonts w:ascii="Arial" w:eastAsia="Times New Roman" w:hAnsi="Arial" w:cs="Arial"/>
          <w:color w:val="7AAB34"/>
          <w:sz w:val="26"/>
          <w:szCs w:val="26"/>
          <w:lang w:eastAsia="fr-BE"/>
        </w:rPr>
        <w:t xml:space="preserve">Fissile </w:t>
      </w:r>
      <w:proofErr w:type="spellStart"/>
      <w:r w:rsidRPr="00AC594D">
        <w:rPr>
          <w:rFonts w:ascii="Arial" w:eastAsia="Times New Roman" w:hAnsi="Arial" w:cs="Arial"/>
          <w:color w:val="7AAB34"/>
          <w:sz w:val="26"/>
          <w:szCs w:val="26"/>
          <w:lang w:eastAsia="fr-BE"/>
        </w:rPr>
        <w:t>material</w:t>
      </w:r>
      <w:proofErr w:type="spellEnd"/>
      <w:r w:rsidRPr="00AC594D">
        <w:rPr>
          <w:rFonts w:ascii="Arial" w:eastAsia="Times New Roman" w:hAnsi="Arial" w:cs="Arial"/>
          <w:color w:val="7AAB34"/>
          <w:sz w:val="26"/>
          <w:szCs w:val="26"/>
          <w:lang w:eastAsia="fr-BE"/>
        </w:rPr>
        <w:t xml:space="preserve"> stocks</w:t>
      </w:r>
    </w:p>
    <w:p w:rsidR="00AC594D" w:rsidRDefault="00AC594D" w:rsidP="00AC594D">
      <w:pPr>
        <w:numPr>
          <w:ilvl w:val="0"/>
          <w:numId w:val="2"/>
        </w:numPr>
        <w:shd w:val="clear" w:color="auto" w:fill="F2F2F2"/>
        <w:spacing w:before="288" w:beforeAutospacing="1" w:after="288" w:afterAutospacing="1" w:line="240" w:lineRule="auto"/>
        <w:ind w:left="0"/>
        <w:rPr>
          <w:rFonts w:ascii="Times New Roman" w:eastAsia="Times New Roman" w:hAnsi="Times New Roman" w:cs="Times New Roman"/>
          <w:color w:val="292929"/>
          <w:sz w:val="14"/>
          <w:szCs w:val="14"/>
          <w:lang w:val="en-GB" w:eastAsia="fr-BE"/>
        </w:rPr>
      </w:pPr>
      <w:r w:rsidRPr="00AC594D">
        <w:rPr>
          <w:rFonts w:ascii="Times New Roman" w:eastAsia="Times New Roman" w:hAnsi="Times New Roman" w:cs="Times New Roman"/>
          <w:color w:val="292929"/>
          <w:sz w:val="14"/>
          <w:szCs w:val="14"/>
          <w:lang w:val="en-GB" w:eastAsia="fr-BE"/>
        </w:rPr>
        <w:t xml:space="preserve"> As of the beginning of 2024, the global stockpile of </w:t>
      </w:r>
      <w:proofErr w:type="spellStart"/>
      <w:r w:rsidRPr="00AC594D">
        <w:rPr>
          <w:rFonts w:ascii="Times New Roman" w:eastAsia="Times New Roman" w:hAnsi="Times New Roman" w:cs="Times New Roman"/>
          <w:color w:val="292929"/>
          <w:sz w:val="14"/>
          <w:szCs w:val="14"/>
          <w:lang w:val="en-GB" w:eastAsia="fr-BE"/>
        </w:rPr>
        <w:t>unirradiated</w:t>
      </w:r>
      <w:proofErr w:type="spellEnd"/>
      <w:r w:rsidRPr="00AC594D">
        <w:rPr>
          <w:rFonts w:ascii="Times New Roman" w:eastAsia="Times New Roman" w:hAnsi="Times New Roman" w:cs="Times New Roman"/>
          <w:color w:val="292929"/>
          <w:sz w:val="14"/>
          <w:szCs w:val="14"/>
          <w:lang w:val="en-GB" w:eastAsia="fr-BE"/>
        </w:rPr>
        <w:t> </w:t>
      </w:r>
      <w:hyperlink r:id="rId5" w:history="1">
        <w:r w:rsidRPr="00AC594D">
          <w:rPr>
            <w:rFonts w:ascii="Times New Roman" w:eastAsia="Times New Roman" w:hAnsi="Times New Roman" w:cs="Times New Roman"/>
            <w:color w:val="3264B4"/>
            <w:sz w:val="14"/>
            <w:u w:val="single"/>
            <w:lang w:val="en-GB" w:eastAsia="fr-BE"/>
          </w:rPr>
          <w:t>highly enriched uranium (HEU)</w:t>
        </w:r>
      </w:hyperlink>
      <w:r w:rsidRPr="00AC594D">
        <w:rPr>
          <w:rFonts w:ascii="Times New Roman" w:eastAsia="Times New Roman" w:hAnsi="Times New Roman" w:cs="Times New Roman"/>
          <w:color w:val="292929"/>
          <w:sz w:val="14"/>
          <w:szCs w:val="14"/>
          <w:lang w:val="en-GB" w:eastAsia="fr-BE"/>
        </w:rPr>
        <w:t> was estimated to be about 1240 metric tons. Most of this material - about 1,100 metric tons - is in weapons or available for use in weapon programs. The global stockpile of </w:t>
      </w:r>
      <w:hyperlink r:id="rId6" w:history="1">
        <w:r w:rsidRPr="00AC594D">
          <w:rPr>
            <w:rFonts w:ascii="Times New Roman" w:eastAsia="Times New Roman" w:hAnsi="Times New Roman" w:cs="Times New Roman"/>
            <w:color w:val="3264B4"/>
            <w:sz w:val="14"/>
            <w:u w:val="single"/>
            <w:lang w:val="en-GB" w:eastAsia="fr-BE"/>
          </w:rPr>
          <w:t>separated plutonium</w:t>
        </w:r>
      </w:hyperlink>
      <w:r w:rsidRPr="00AC594D">
        <w:rPr>
          <w:rFonts w:ascii="Times New Roman" w:eastAsia="Times New Roman" w:hAnsi="Times New Roman" w:cs="Times New Roman"/>
          <w:color w:val="292929"/>
          <w:sz w:val="14"/>
          <w:szCs w:val="14"/>
          <w:lang w:val="en-GB" w:eastAsia="fr-BE"/>
        </w:rPr>
        <w:t> was about 565 tons. Of this material, 425 metric tons were produced outside of weapon programs, covered by obligations not to use it in weapons, or not directly suitable for weapons. This leaves about 140 metric tons of plutonium in weapons or available for weapons.</w:t>
      </w:r>
    </w:p>
    <w:p w:rsidR="00AC594D" w:rsidRPr="00AC594D" w:rsidRDefault="00AC594D" w:rsidP="00AC594D">
      <w:pPr>
        <w:numPr>
          <w:ilvl w:val="0"/>
          <w:numId w:val="2"/>
        </w:numPr>
        <w:shd w:val="clear" w:color="auto" w:fill="F2F2F2"/>
        <w:spacing w:before="288" w:beforeAutospacing="1" w:after="288" w:afterAutospacing="1" w:line="240" w:lineRule="auto"/>
        <w:ind w:left="0"/>
        <w:rPr>
          <w:rFonts w:ascii="Times New Roman" w:eastAsia="Times New Roman" w:hAnsi="Times New Roman" w:cs="Times New Roman"/>
          <w:color w:val="292929"/>
          <w:sz w:val="14"/>
          <w:szCs w:val="14"/>
          <w:lang w:val="en-GB" w:eastAsia="fr-BE"/>
        </w:rPr>
      </w:pPr>
    </w:p>
    <w:p w:rsidR="00AC594D" w:rsidRDefault="00AC594D" w:rsidP="00AC594D">
      <w:pPr>
        <w:pStyle w:val="NormalWeb"/>
        <w:numPr>
          <w:ilvl w:val="0"/>
          <w:numId w:val="2"/>
        </w:numPr>
        <w:tabs>
          <w:tab w:val="clear" w:pos="720"/>
        </w:tabs>
      </w:pPr>
      <w:r>
        <w:rPr>
          <w:noProof/>
        </w:rPr>
        <w:drawing>
          <wp:inline distT="0" distB="0" distL="0" distR="0">
            <wp:extent cx="2676473" cy="1551856"/>
            <wp:effectExtent l="19050" t="0" r="0" b="0"/>
            <wp:docPr id="5" name="Image 5" descr="C:\Users\Utilisateur\Documents\2024 map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ilisateur\Documents\2024 map pu.png"/>
                    <pic:cNvPicPr>
                      <a:picLocks noChangeAspect="1" noChangeArrowheads="1"/>
                    </pic:cNvPicPr>
                  </pic:nvPicPr>
                  <pic:blipFill>
                    <a:blip r:embed="rId7" cstate="print"/>
                    <a:srcRect/>
                    <a:stretch>
                      <a:fillRect/>
                    </a:stretch>
                  </pic:blipFill>
                  <pic:spPr bwMode="auto">
                    <a:xfrm>
                      <a:off x="0" y="0"/>
                      <a:ext cx="2677832" cy="1552644"/>
                    </a:xfrm>
                    <a:prstGeom prst="rect">
                      <a:avLst/>
                    </a:prstGeom>
                    <a:noFill/>
                    <a:ln w="9525">
                      <a:noFill/>
                      <a:miter lim="800000"/>
                      <a:headEnd/>
                      <a:tailEnd/>
                    </a:ln>
                  </pic:spPr>
                </pic:pic>
              </a:graphicData>
            </a:graphic>
          </wp:inline>
        </w:drawing>
      </w:r>
    </w:p>
    <w:p w:rsidR="00AC594D" w:rsidRDefault="00AC594D" w:rsidP="00AC594D">
      <w:pPr>
        <w:pStyle w:val="NormalWeb"/>
        <w:numPr>
          <w:ilvl w:val="0"/>
          <w:numId w:val="2"/>
        </w:numPr>
        <w:tabs>
          <w:tab w:val="clear" w:pos="720"/>
        </w:tabs>
        <w:jc w:val="center"/>
      </w:pPr>
    </w:p>
    <w:p w:rsidR="00AC594D" w:rsidRPr="00AC594D" w:rsidRDefault="00AC594D" w:rsidP="00AC594D">
      <w:pPr>
        <w:pStyle w:val="NormalWeb"/>
        <w:numPr>
          <w:ilvl w:val="0"/>
          <w:numId w:val="2"/>
        </w:numPr>
        <w:tabs>
          <w:tab w:val="clear" w:pos="720"/>
          <w:tab w:val="num" w:pos="142"/>
        </w:tabs>
        <w:jc w:val="both"/>
      </w:pPr>
      <w:r w:rsidRPr="00AC594D">
        <w:rPr>
          <w:color w:val="292929"/>
          <w:sz w:val="14"/>
          <w:szCs w:val="14"/>
          <w:shd w:val="clear" w:color="auto" w:fill="F2F2F2"/>
          <w:lang w:val="en-GB"/>
        </w:rPr>
        <w:t xml:space="preserve">The map and the table show amounts of fissile materials (combined HEU and plutonium) in nuclear armed states and in countries that own large amounts of civilian fissile materials. Numbers for weapon material for the United States and United Kingdom are based on official data. Most numbers for civilian plutonium are based on declarations submitted to IAEA and reflect the status as of December 31, 2023. Other numbers are non-governmental estimates, often with large uncertainties. </w:t>
      </w:r>
      <w:proofErr w:type="spellStart"/>
      <w:r>
        <w:rPr>
          <w:color w:val="292929"/>
          <w:sz w:val="14"/>
          <w:szCs w:val="14"/>
          <w:shd w:val="clear" w:color="auto" w:fill="F2F2F2"/>
        </w:rPr>
        <w:t>See</w:t>
      </w:r>
      <w:proofErr w:type="spellEnd"/>
      <w:r>
        <w:rPr>
          <w:color w:val="292929"/>
          <w:sz w:val="14"/>
          <w:szCs w:val="14"/>
          <w:shd w:val="clear" w:color="auto" w:fill="F2F2F2"/>
        </w:rPr>
        <w:t xml:space="preserve"> </w:t>
      </w:r>
      <w:proofErr w:type="spellStart"/>
      <w:r>
        <w:rPr>
          <w:color w:val="292929"/>
          <w:sz w:val="14"/>
          <w:szCs w:val="14"/>
          <w:shd w:val="clear" w:color="auto" w:fill="F2F2F2"/>
        </w:rPr>
        <w:t>individual</w:t>
      </w:r>
      <w:proofErr w:type="spellEnd"/>
      <w:r>
        <w:rPr>
          <w:color w:val="292929"/>
          <w:sz w:val="14"/>
          <w:szCs w:val="14"/>
          <w:shd w:val="clear" w:color="auto" w:fill="F2F2F2"/>
        </w:rPr>
        <w:t xml:space="preserve"> country entries for </w:t>
      </w:r>
      <w:proofErr w:type="spellStart"/>
      <w:r>
        <w:rPr>
          <w:color w:val="292929"/>
          <w:sz w:val="14"/>
          <w:szCs w:val="14"/>
          <w:shd w:val="clear" w:color="auto" w:fill="F2F2F2"/>
        </w:rPr>
        <w:t>details</w:t>
      </w:r>
      <w:proofErr w:type="spellEnd"/>
      <w:r>
        <w:rPr>
          <w:color w:val="292929"/>
          <w:sz w:val="14"/>
          <w:szCs w:val="14"/>
          <w:shd w:val="clear" w:color="auto" w:fill="F2F2F2"/>
        </w:rPr>
        <w:t>.</w:t>
      </w:r>
    </w:p>
    <w:p w:rsidR="00AC594D" w:rsidRDefault="00AC594D" w:rsidP="00AC594D">
      <w:pPr>
        <w:pStyle w:val="NormalWeb"/>
        <w:ind w:left="720"/>
      </w:pPr>
      <w:r>
        <w:rPr>
          <w:noProof/>
        </w:rPr>
        <w:drawing>
          <wp:inline distT="0" distB="0" distL="0" distR="0">
            <wp:extent cx="3333750" cy="2804176"/>
            <wp:effectExtent l="19050" t="0" r="0" b="0"/>
            <wp:docPr id="8" name="Image 8" descr="C:\Users\Utilisateur\Documents\2024 plutonium stocks  ref IPFM april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sateur\Documents\2024 plutonium stocks  ref IPFM april 2025.png"/>
                    <pic:cNvPicPr>
                      <a:picLocks noChangeAspect="1" noChangeArrowheads="1"/>
                    </pic:cNvPicPr>
                  </pic:nvPicPr>
                  <pic:blipFill>
                    <a:blip r:embed="rId8" cstate="print"/>
                    <a:srcRect/>
                    <a:stretch>
                      <a:fillRect/>
                    </a:stretch>
                  </pic:blipFill>
                  <pic:spPr bwMode="auto">
                    <a:xfrm>
                      <a:off x="0" y="0"/>
                      <a:ext cx="3333586" cy="2804038"/>
                    </a:xfrm>
                    <a:prstGeom prst="rect">
                      <a:avLst/>
                    </a:prstGeom>
                    <a:noFill/>
                    <a:ln w="9525">
                      <a:noFill/>
                      <a:miter lim="800000"/>
                      <a:headEnd/>
                      <a:tailEnd/>
                    </a:ln>
                  </pic:spPr>
                </pic:pic>
              </a:graphicData>
            </a:graphic>
          </wp:inline>
        </w:drawing>
      </w:r>
    </w:p>
    <w:p w:rsidR="00AC594D" w:rsidRPr="00AC594D" w:rsidRDefault="00AC594D" w:rsidP="00AC594D">
      <w:pPr>
        <w:shd w:val="clear" w:color="auto" w:fill="F2F2F2"/>
        <w:spacing w:before="288" w:after="0" w:line="240" w:lineRule="auto"/>
        <w:rPr>
          <w:rFonts w:ascii="Times New Roman" w:eastAsia="Times New Roman" w:hAnsi="Times New Roman" w:cs="Times New Roman"/>
          <w:color w:val="292929"/>
          <w:sz w:val="14"/>
          <w:szCs w:val="14"/>
          <w:lang w:val="en-GB" w:eastAsia="fr-BE"/>
        </w:rPr>
      </w:pPr>
      <w:r w:rsidRPr="00AC594D">
        <w:rPr>
          <w:rFonts w:ascii="Times New Roman" w:eastAsia="Times New Roman" w:hAnsi="Times New Roman" w:cs="Times New Roman"/>
          <w:color w:val="292929"/>
          <w:sz w:val="14"/>
          <w:szCs w:val="14"/>
          <w:lang w:val="en-GB" w:eastAsia="fr-BE"/>
        </w:rPr>
        <w:t>Production of military fissile materials continues in India, which is producing plutonium for weapons and HEU for naval propulsion, Pakistan, which produces plutonium and HEU for weapons, Israel, which is believed to produce plutonium. North Korea has the capability to produce weapon-grade plutonium and highly-enriched uranium.</w:t>
      </w:r>
    </w:p>
    <w:p w:rsidR="00AC594D" w:rsidRPr="00AC594D" w:rsidRDefault="00AC594D" w:rsidP="00AC594D">
      <w:pPr>
        <w:shd w:val="clear" w:color="auto" w:fill="F2F2F2"/>
        <w:spacing w:before="288" w:after="0" w:line="240" w:lineRule="auto"/>
        <w:rPr>
          <w:rFonts w:ascii="Times New Roman" w:eastAsia="Times New Roman" w:hAnsi="Times New Roman" w:cs="Times New Roman"/>
          <w:color w:val="292929"/>
          <w:sz w:val="14"/>
          <w:szCs w:val="14"/>
          <w:lang w:val="en-GB" w:eastAsia="fr-BE"/>
        </w:rPr>
      </w:pPr>
      <w:r w:rsidRPr="00AC594D">
        <w:rPr>
          <w:rFonts w:ascii="Times New Roman" w:eastAsia="Times New Roman" w:hAnsi="Times New Roman" w:cs="Times New Roman"/>
          <w:color w:val="292929"/>
          <w:sz w:val="14"/>
          <w:szCs w:val="14"/>
          <w:lang w:val="en-GB" w:eastAsia="fr-BE"/>
        </w:rPr>
        <w:t>France, Russia, the United Kingdom, Japan, and India operate civilian </w:t>
      </w:r>
      <w:hyperlink r:id="rId9" w:history="1">
        <w:r w:rsidRPr="00AC594D">
          <w:rPr>
            <w:rFonts w:ascii="Times New Roman" w:eastAsia="Times New Roman" w:hAnsi="Times New Roman" w:cs="Times New Roman"/>
            <w:color w:val="3264B4"/>
            <w:sz w:val="14"/>
            <w:lang w:val="en-GB" w:eastAsia="fr-BE"/>
          </w:rPr>
          <w:t>reprocessing facilities</w:t>
        </w:r>
      </w:hyperlink>
      <w:r w:rsidRPr="00AC594D">
        <w:rPr>
          <w:rFonts w:ascii="Times New Roman" w:eastAsia="Times New Roman" w:hAnsi="Times New Roman" w:cs="Times New Roman"/>
          <w:color w:val="292929"/>
          <w:sz w:val="14"/>
          <w:szCs w:val="14"/>
          <w:lang w:val="en-GB" w:eastAsia="fr-BE"/>
        </w:rPr>
        <w:t> that separate plutonium from spent fuel of power reactors. China is operating a pilot civilian reprocessing facility.</w:t>
      </w:r>
    </w:p>
    <w:p w:rsidR="00AC594D" w:rsidRDefault="00AC594D" w:rsidP="00AC594D">
      <w:pPr>
        <w:shd w:val="clear" w:color="auto" w:fill="F2F2F2"/>
        <w:spacing w:before="288" w:after="0" w:line="240" w:lineRule="auto"/>
        <w:rPr>
          <w:rFonts w:ascii="Times New Roman" w:eastAsia="Times New Roman" w:hAnsi="Times New Roman" w:cs="Times New Roman"/>
          <w:color w:val="292929"/>
          <w:sz w:val="14"/>
          <w:szCs w:val="14"/>
          <w:lang w:val="en-GB" w:eastAsia="fr-BE"/>
        </w:rPr>
      </w:pPr>
      <w:r w:rsidRPr="00AC594D">
        <w:rPr>
          <w:rFonts w:ascii="Times New Roman" w:eastAsia="Times New Roman" w:hAnsi="Times New Roman" w:cs="Times New Roman"/>
          <w:color w:val="292929"/>
          <w:sz w:val="14"/>
          <w:szCs w:val="14"/>
          <w:lang w:val="en-GB" w:eastAsia="fr-BE"/>
        </w:rPr>
        <w:t>Fourteen countries - Russia, the United States, France, the United Kingdom, Germany, the Netherlands (all three are in the URENCO consortium), China, Japan, Argentina, Brazil, India, Pakistan, North Korea, and Iran - operate </w:t>
      </w:r>
      <w:hyperlink r:id="rId10" w:history="1">
        <w:r w:rsidRPr="00AC594D">
          <w:rPr>
            <w:rFonts w:ascii="Times New Roman" w:eastAsia="Times New Roman" w:hAnsi="Times New Roman" w:cs="Times New Roman"/>
            <w:color w:val="3264B4"/>
            <w:sz w:val="14"/>
            <w:lang w:val="en-GB" w:eastAsia="fr-BE"/>
          </w:rPr>
          <w:t>uranium enrichment facilities</w:t>
        </w:r>
      </w:hyperlink>
      <w:r w:rsidRPr="00AC594D">
        <w:rPr>
          <w:rFonts w:ascii="Times New Roman" w:eastAsia="Times New Roman" w:hAnsi="Times New Roman" w:cs="Times New Roman"/>
          <w:color w:val="292929"/>
          <w:sz w:val="14"/>
          <w:szCs w:val="14"/>
          <w:lang w:val="en-GB" w:eastAsia="fr-BE"/>
        </w:rPr>
        <w:t>.</w:t>
      </w:r>
    </w:p>
    <w:p w:rsidR="00AC594D" w:rsidRPr="00AC594D" w:rsidRDefault="00AC594D" w:rsidP="00AC594D">
      <w:pPr>
        <w:shd w:val="clear" w:color="auto" w:fill="F2F2F2"/>
        <w:spacing w:before="288" w:after="288" w:line="240" w:lineRule="auto"/>
        <w:rPr>
          <w:rFonts w:ascii="Times New Roman" w:eastAsia="Times New Roman" w:hAnsi="Times New Roman" w:cs="Times New Roman"/>
          <w:sz w:val="14"/>
          <w:szCs w:val="14"/>
          <w:lang w:eastAsia="fr-BE"/>
        </w:rPr>
      </w:pPr>
      <w:r w:rsidRPr="00AC594D">
        <w:rPr>
          <w:rFonts w:ascii="Times New Roman" w:eastAsia="Times New Roman" w:hAnsi="Times New Roman" w:cs="Times New Roman"/>
          <w:sz w:val="14"/>
          <w:szCs w:val="14"/>
          <w:lang w:eastAsia="fr-BE"/>
        </w:rPr>
        <w:t>April 28, 2025</w:t>
      </w:r>
    </w:p>
    <w:p w:rsidR="00AC594D" w:rsidRPr="00AC594D" w:rsidRDefault="00AC594D" w:rsidP="00AC594D">
      <w:pPr>
        <w:spacing w:after="0" w:line="240" w:lineRule="auto"/>
        <w:rPr>
          <w:rFonts w:ascii="Times New Roman" w:eastAsia="Times New Roman" w:hAnsi="Times New Roman" w:cs="Times New Roman"/>
          <w:sz w:val="14"/>
          <w:szCs w:val="14"/>
          <w:lang w:eastAsia="fr-BE"/>
        </w:rPr>
      </w:pPr>
      <w:r w:rsidRPr="00AC594D">
        <w:rPr>
          <w:rFonts w:ascii="Times New Roman" w:eastAsia="Times New Roman" w:hAnsi="Times New Roman" w:cs="Times New Roman"/>
          <w:sz w:val="14"/>
          <w:szCs w:val="14"/>
          <w:lang w:eastAsia="fr-BE"/>
        </w:rPr>
        <w:lastRenderedPageBreak/>
        <w:t> </w:t>
      </w:r>
    </w:p>
    <w:p w:rsidR="00AC594D" w:rsidRPr="00AC594D" w:rsidRDefault="00AC594D" w:rsidP="00AC594D">
      <w:pPr>
        <w:numPr>
          <w:ilvl w:val="0"/>
          <w:numId w:val="3"/>
        </w:numPr>
        <w:spacing w:before="100" w:beforeAutospacing="1" w:after="100" w:afterAutospacing="1" w:line="240" w:lineRule="auto"/>
        <w:ind w:left="80"/>
        <w:rPr>
          <w:rFonts w:ascii="Times New Roman" w:eastAsia="Times New Roman" w:hAnsi="Times New Roman" w:cs="Times New Roman"/>
          <w:sz w:val="13"/>
          <w:szCs w:val="13"/>
          <w:lang w:eastAsia="fr-BE"/>
        </w:rPr>
      </w:pPr>
    </w:p>
    <w:p w:rsidR="00AC594D" w:rsidRDefault="00AC594D" w:rsidP="00AC594D">
      <w:pPr>
        <w:pStyle w:val="NormalWeb"/>
        <w:ind w:left="142"/>
      </w:pPr>
    </w:p>
    <w:p w:rsidR="00AC594D" w:rsidRDefault="00AC594D" w:rsidP="00AC594D">
      <w:pPr>
        <w:pStyle w:val="NormalWeb"/>
        <w:jc w:val="both"/>
      </w:pPr>
    </w:p>
    <w:p w:rsidR="00BA0316" w:rsidRDefault="00BA0316"/>
    <w:sectPr w:rsidR="00BA0316" w:rsidSect="00BA0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1D6"/>
    <w:multiLevelType w:val="multilevel"/>
    <w:tmpl w:val="5E2E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75658"/>
    <w:multiLevelType w:val="multilevel"/>
    <w:tmpl w:val="599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17F62"/>
    <w:multiLevelType w:val="multilevel"/>
    <w:tmpl w:val="4F7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AC594D"/>
    <w:rsid w:val="00A06378"/>
    <w:rsid w:val="00AC594D"/>
    <w:rsid w:val="00BA0316"/>
    <w:rsid w:val="00FF0F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78"/>
  </w:style>
  <w:style w:type="paragraph" w:styleId="Titre1">
    <w:name w:val="heading 1"/>
    <w:basedOn w:val="Normal"/>
    <w:link w:val="Titre1Car"/>
    <w:uiPriority w:val="9"/>
    <w:qFormat/>
    <w:rsid w:val="00AC5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C594D"/>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6378"/>
    <w:pPr>
      <w:spacing w:after="0" w:line="240" w:lineRule="auto"/>
    </w:pPr>
  </w:style>
  <w:style w:type="paragraph" w:styleId="Paragraphedeliste">
    <w:name w:val="List Paragraph"/>
    <w:basedOn w:val="Normal"/>
    <w:uiPriority w:val="34"/>
    <w:qFormat/>
    <w:rsid w:val="00A06378"/>
    <w:pPr>
      <w:ind w:left="720"/>
      <w:contextualSpacing/>
    </w:pPr>
  </w:style>
  <w:style w:type="character" w:customStyle="1" w:styleId="Titre1Car">
    <w:name w:val="Titre 1 Car"/>
    <w:basedOn w:val="Policepardfaut"/>
    <w:link w:val="Titre1"/>
    <w:uiPriority w:val="9"/>
    <w:rsid w:val="00AC594D"/>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C594D"/>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AC594D"/>
    <w:rPr>
      <w:color w:val="0000FF"/>
      <w:u w:val="single"/>
    </w:rPr>
  </w:style>
  <w:style w:type="paragraph" w:styleId="NormalWeb">
    <w:name w:val="Normal (Web)"/>
    <w:basedOn w:val="Normal"/>
    <w:uiPriority w:val="99"/>
    <w:semiHidden/>
    <w:unhideWhenUsed/>
    <w:rsid w:val="00AC594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AC59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5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4154">
      <w:bodyDiv w:val="1"/>
      <w:marLeft w:val="0"/>
      <w:marRight w:val="0"/>
      <w:marTop w:val="0"/>
      <w:marBottom w:val="0"/>
      <w:divBdr>
        <w:top w:val="none" w:sz="0" w:space="0" w:color="auto"/>
        <w:left w:val="none" w:sz="0" w:space="0" w:color="auto"/>
        <w:bottom w:val="none" w:sz="0" w:space="0" w:color="auto"/>
        <w:right w:val="none" w:sz="0" w:space="0" w:color="auto"/>
      </w:divBdr>
      <w:divsChild>
        <w:div w:id="1529564953">
          <w:marLeft w:val="0"/>
          <w:marRight w:val="0"/>
          <w:marTop w:val="0"/>
          <w:marBottom w:val="0"/>
          <w:divBdr>
            <w:top w:val="none" w:sz="0" w:space="0" w:color="auto"/>
            <w:left w:val="none" w:sz="0" w:space="0" w:color="auto"/>
            <w:bottom w:val="none" w:sz="0" w:space="0" w:color="auto"/>
            <w:right w:val="none" w:sz="0" w:space="0" w:color="auto"/>
          </w:divBdr>
          <w:divsChild>
            <w:div w:id="102500570">
              <w:marLeft w:val="0"/>
              <w:marRight w:val="0"/>
              <w:marTop w:val="0"/>
              <w:marBottom w:val="0"/>
              <w:divBdr>
                <w:top w:val="none" w:sz="0" w:space="0" w:color="7AAB34"/>
                <w:left w:val="none" w:sz="0" w:space="0" w:color="7AAB34"/>
                <w:bottom w:val="single" w:sz="48" w:space="0" w:color="7AAB34"/>
                <w:right w:val="none" w:sz="0" w:space="0" w:color="7AAB34"/>
              </w:divBdr>
            </w:div>
          </w:divsChild>
        </w:div>
        <w:div w:id="1289358377">
          <w:marLeft w:val="0"/>
          <w:marRight w:val="0"/>
          <w:marTop w:val="80"/>
          <w:marBottom w:val="80"/>
          <w:divBdr>
            <w:top w:val="none" w:sz="0" w:space="0" w:color="auto"/>
            <w:left w:val="none" w:sz="0" w:space="0" w:color="auto"/>
            <w:bottom w:val="none" w:sz="0" w:space="0" w:color="auto"/>
            <w:right w:val="none" w:sz="0" w:space="0" w:color="auto"/>
          </w:divBdr>
          <w:divsChild>
            <w:div w:id="2075200595">
              <w:marLeft w:val="0"/>
              <w:marRight w:val="0"/>
              <w:marTop w:val="0"/>
              <w:marBottom w:val="0"/>
              <w:divBdr>
                <w:top w:val="none" w:sz="0" w:space="0" w:color="auto"/>
                <w:left w:val="none" w:sz="0" w:space="0" w:color="auto"/>
                <w:bottom w:val="none" w:sz="0" w:space="0" w:color="auto"/>
                <w:right w:val="none" w:sz="0" w:space="0" w:color="auto"/>
              </w:divBdr>
              <w:divsChild>
                <w:div w:id="41100684">
                  <w:marLeft w:val="0"/>
                  <w:marRight w:val="0"/>
                  <w:marTop w:val="0"/>
                  <w:marBottom w:val="0"/>
                  <w:divBdr>
                    <w:top w:val="none" w:sz="0" w:space="0" w:color="auto"/>
                    <w:left w:val="none" w:sz="0" w:space="0" w:color="auto"/>
                    <w:bottom w:val="none" w:sz="0" w:space="0" w:color="auto"/>
                    <w:right w:val="none" w:sz="0" w:space="0" w:color="auto"/>
                  </w:divBdr>
                  <w:divsChild>
                    <w:div w:id="21227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805">
      <w:bodyDiv w:val="1"/>
      <w:marLeft w:val="0"/>
      <w:marRight w:val="0"/>
      <w:marTop w:val="0"/>
      <w:marBottom w:val="0"/>
      <w:divBdr>
        <w:top w:val="none" w:sz="0" w:space="0" w:color="auto"/>
        <w:left w:val="none" w:sz="0" w:space="0" w:color="auto"/>
        <w:bottom w:val="none" w:sz="0" w:space="0" w:color="auto"/>
        <w:right w:val="none" w:sz="0" w:space="0" w:color="auto"/>
      </w:divBdr>
      <w:divsChild>
        <w:div w:id="662319047">
          <w:marLeft w:val="80"/>
          <w:marRight w:val="0"/>
          <w:marTop w:val="0"/>
          <w:marBottom w:val="0"/>
          <w:divBdr>
            <w:top w:val="none" w:sz="0" w:space="0" w:color="auto"/>
            <w:left w:val="none" w:sz="0" w:space="0" w:color="auto"/>
            <w:bottom w:val="none" w:sz="0" w:space="0" w:color="auto"/>
            <w:right w:val="none" w:sz="0" w:space="0" w:color="auto"/>
          </w:divBdr>
        </w:div>
      </w:divsChild>
    </w:div>
    <w:div w:id="1670215022">
      <w:bodyDiv w:val="1"/>
      <w:marLeft w:val="0"/>
      <w:marRight w:val="0"/>
      <w:marTop w:val="0"/>
      <w:marBottom w:val="0"/>
      <w:divBdr>
        <w:top w:val="none" w:sz="0" w:space="0" w:color="auto"/>
        <w:left w:val="none" w:sz="0" w:space="0" w:color="auto"/>
        <w:bottom w:val="none" w:sz="0" w:space="0" w:color="auto"/>
        <w:right w:val="none" w:sz="0" w:space="0" w:color="auto"/>
      </w:divBdr>
    </w:div>
    <w:div w:id="19151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ssilematerials.org/materials/plutonium.html" TargetMode="External"/><Relationship Id="rId11" Type="http://schemas.openxmlformats.org/officeDocument/2006/relationships/fontTable" Target="fontTable.xml"/><Relationship Id="rId5" Type="http://schemas.openxmlformats.org/officeDocument/2006/relationships/hyperlink" Target="https://fissilematerials.org/materials/heu.html" TargetMode="External"/><Relationship Id="rId10" Type="http://schemas.openxmlformats.org/officeDocument/2006/relationships/hyperlink" Target="http://fissilematerials.org/facilities/enrichment_plants.html" TargetMode="External"/><Relationship Id="rId4" Type="http://schemas.openxmlformats.org/officeDocument/2006/relationships/webSettings" Target="webSettings.xml"/><Relationship Id="rId9" Type="http://schemas.openxmlformats.org/officeDocument/2006/relationships/hyperlink" Target="http://fissilematerials.org/facilities/reprocessing_plan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2052</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2025-06-27T07:33:00Z</dcterms:created>
  <dcterms:modified xsi:type="dcterms:W3CDTF">2025-06-27T07:42:00Z</dcterms:modified>
</cp:coreProperties>
</file>