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B4" w:rsidRPr="000738B4" w:rsidRDefault="000738B4" w:rsidP="000738B4">
      <w:pPr>
        <w:shd w:val="clear" w:color="auto" w:fill="FFFFFF"/>
        <w:spacing w:after="100" w:afterAutospacing="1" w:line="675" w:lineRule="atLeast"/>
        <w:outlineLvl w:val="0"/>
        <w:rPr>
          <w:rFonts w:ascii="Helvetica" w:eastAsia="Times New Roman" w:hAnsi="Helvetica" w:cs="Helvetica"/>
          <w:color w:val="000000"/>
          <w:spacing w:val="11"/>
          <w:kern w:val="36"/>
          <w:sz w:val="48"/>
          <w:szCs w:val="48"/>
          <w:lang w:eastAsia="fr-BE"/>
        </w:rPr>
      </w:pPr>
      <w:r w:rsidRPr="000738B4">
        <w:rPr>
          <w:rFonts w:ascii="Helvetica" w:eastAsia="Times New Roman" w:hAnsi="Helvetica" w:cs="Helvetica"/>
          <w:color w:val="000000"/>
          <w:spacing w:val="11"/>
          <w:kern w:val="36"/>
          <w:sz w:val="48"/>
          <w:szCs w:val="48"/>
          <w:lang w:eastAsia="fr-BE"/>
        </w:rPr>
        <w:t>Fin du démantèlement des ateliers de fabrication de MOX</w:t>
      </w:r>
    </w:p>
    <w:p w:rsidR="000738B4" w:rsidRPr="000738B4" w:rsidRDefault="000738B4" w:rsidP="000738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lang w:eastAsia="fr-BE"/>
        </w:rPr>
      </w:pPr>
      <w:r>
        <w:rPr>
          <w:rFonts w:ascii="Helvetica" w:eastAsia="Times New Roman" w:hAnsi="Helvetica" w:cs="Helvetica"/>
          <w:noProof/>
          <w:color w:val="000000"/>
          <w:sz w:val="20"/>
          <w:lang w:eastAsia="fr-BE"/>
        </w:rPr>
        <w:drawing>
          <wp:inline distT="0" distB="0" distL="0" distR="0">
            <wp:extent cx="4848225" cy="2506225"/>
            <wp:effectExtent l="19050" t="0" r="9525" b="0"/>
            <wp:docPr id="1" name="Picture 1" descr="fin_du_demantelement_des_ateliers_de_fabrication_de_m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_du_demantelement_des_ateliers_de_fabrication_de_m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5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8B4" w:rsidRPr="000738B4" w:rsidRDefault="00325E42" w:rsidP="000738B4">
      <w:pPr>
        <w:shd w:val="clear" w:color="auto" w:fill="FFFFFF"/>
        <w:spacing w:after="0" w:line="408" w:lineRule="atLeast"/>
        <w:rPr>
          <w:rFonts w:ascii="Georgia" w:eastAsia="Times New Roman" w:hAnsi="Georgia" w:cs="Helvetica"/>
          <w:b/>
          <w:bCs/>
          <w:color w:val="000000"/>
          <w:spacing w:val="-2"/>
          <w:sz w:val="20"/>
          <w:lang w:eastAsia="fr-BE"/>
        </w:rPr>
      </w:pPr>
      <w:hyperlink r:id="rId6" w:history="1">
        <w:r w:rsidR="000738B4" w:rsidRPr="000738B4">
          <w:rPr>
            <w:rFonts w:ascii="Georgia" w:eastAsia="Times New Roman" w:hAnsi="Georgia" w:cs="Helvetica"/>
            <w:b/>
            <w:bCs/>
            <w:color w:val="0046B9"/>
            <w:spacing w:val="-2"/>
            <w:sz w:val="20"/>
            <w:lang w:eastAsia="fr-BE"/>
          </w:rPr>
          <w:t>MOX</w:t>
        </w:r>
      </w:hyperlink>
      <w:r w:rsidR="000738B4" w:rsidRPr="000738B4">
        <w:rPr>
          <w:rFonts w:ascii="Georgia" w:eastAsia="Times New Roman" w:hAnsi="Georgia" w:cs="Helvetica"/>
          <w:b/>
          <w:bCs/>
          <w:color w:val="000000"/>
          <w:spacing w:val="-2"/>
          <w:sz w:val="20"/>
          <w:lang w:eastAsia="fr-BE"/>
        </w:rPr>
        <w:t>,</w:t>
      </w:r>
    </w:p>
    <w:p w:rsidR="000738B4" w:rsidRPr="000738B4" w:rsidRDefault="00325E42" w:rsidP="000738B4">
      <w:pPr>
        <w:shd w:val="clear" w:color="auto" w:fill="FFFFFF"/>
        <w:spacing w:line="408" w:lineRule="atLeast"/>
        <w:rPr>
          <w:rFonts w:ascii="Georgia" w:eastAsia="Times New Roman" w:hAnsi="Georgia" w:cs="Helvetica"/>
          <w:b/>
          <w:bCs/>
          <w:color w:val="000000"/>
          <w:spacing w:val="-2"/>
          <w:sz w:val="20"/>
          <w:lang w:eastAsia="fr-BE"/>
        </w:rPr>
      </w:pPr>
      <w:hyperlink r:id="rId7" w:history="1">
        <w:r w:rsidR="000738B4" w:rsidRPr="000738B4">
          <w:rPr>
            <w:rFonts w:ascii="Georgia" w:eastAsia="Times New Roman" w:hAnsi="Georgia" w:cs="Helvetica"/>
            <w:b/>
            <w:bCs/>
            <w:color w:val="0046B9"/>
            <w:spacing w:val="-2"/>
            <w:sz w:val="20"/>
            <w:lang w:eastAsia="fr-BE"/>
          </w:rPr>
          <w:t>Démantèlement</w:t>
        </w:r>
      </w:hyperlink>
    </w:p>
    <w:p w:rsidR="000738B4" w:rsidRPr="000738B4" w:rsidRDefault="000738B4" w:rsidP="000738B4">
      <w:pPr>
        <w:shd w:val="clear" w:color="auto" w:fill="FFFFFF"/>
        <w:spacing w:line="240" w:lineRule="auto"/>
        <w:rPr>
          <w:rFonts w:ascii="Georgia" w:eastAsia="Times New Roman" w:hAnsi="Georgia" w:cs="Helvetica"/>
          <w:color w:val="000000"/>
          <w:sz w:val="20"/>
          <w:lang w:eastAsia="fr-BE"/>
        </w:rPr>
      </w:pPr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Par la rédaction</w:t>
      </w:r>
    </w:p>
    <w:p w:rsidR="000738B4" w:rsidRPr="000738B4" w:rsidRDefault="000738B4" w:rsidP="000738B4">
      <w:pPr>
        <w:shd w:val="clear" w:color="auto" w:fill="FFFFFF"/>
        <w:spacing w:after="360" w:line="348" w:lineRule="atLeast"/>
        <w:rPr>
          <w:rFonts w:ascii="Georgia" w:eastAsia="Times New Roman" w:hAnsi="Georgia" w:cs="Helvetica"/>
          <w:color w:val="000000"/>
          <w:sz w:val="20"/>
          <w:lang w:eastAsia="fr-BE"/>
        </w:rPr>
      </w:pPr>
      <w:r w:rsidRPr="000738B4">
        <w:rPr>
          <w:rFonts w:ascii="Georgia" w:eastAsia="Times New Roman" w:hAnsi="Georgia" w:cs="Helvetica"/>
          <w:b/>
          <w:bCs/>
          <w:color w:val="000000"/>
          <w:sz w:val="20"/>
          <w:lang w:eastAsia="fr-BE"/>
        </w:rPr>
        <w:t>AREVA a finalisé des opérations d’assainissement et de démantèlement des équipements de l’ancienne usine de fabrication de combustible MOX de Cadarache (Bouches-du-Rhône). La soixantaine de locaux vidés du procédé de fabrication ont ainsi pu être transférés au CEA qui est l’exploitant du site nucléaire.</w:t>
      </w:r>
    </w:p>
    <w:p w:rsidR="000738B4" w:rsidRPr="000738B4" w:rsidRDefault="000738B4" w:rsidP="000738B4">
      <w:pPr>
        <w:shd w:val="clear" w:color="auto" w:fill="FFFFFF"/>
        <w:spacing w:before="360" w:after="360" w:line="348" w:lineRule="atLeast"/>
        <w:rPr>
          <w:rFonts w:ascii="Georgia" w:eastAsia="Times New Roman" w:hAnsi="Georgia" w:cs="Helvetica"/>
          <w:color w:val="000000"/>
          <w:sz w:val="20"/>
          <w:lang w:eastAsia="fr-BE"/>
        </w:rPr>
      </w:pPr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L’ampleur inédite du projet le place parmi les plus importants chantiers de démantèlement au monde. Les opérations initiées en 2009, après 40 ans d’exploitation industrielle (1962-2003), ont concerné deux installations nucléaires de base, les « Ateliers de Technologie du Plutonium » (</w:t>
      </w:r>
      <w:proofErr w:type="spellStart"/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ATPu</w:t>
      </w:r>
      <w:proofErr w:type="spellEnd"/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) et le « Laboratoire de Purification Chimique » (LPC). Au pic de l’activité, elles ont mobilisé jusqu’à 300 salariés d’AREVA et de ses partenaires. Au total, plus de 460 « boîtes à gants », enceintes étanches de manipulation de matières radioactives, 30 cuves et 4 km de tuyauteries ont été démontés, découpés, puis conditionnés et évacués en toute sécurité.</w:t>
      </w:r>
    </w:p>
    <w:p w:rsidR="002361C8" w:rsidRDefault="000738B4" w:rsidP="00906746">
      <w:pPr>
        <w:shd w:val="clear" w:color="auto" w:fill="FFFFFF"/>
        <w:spacing w:before="360" w:after="360" w:line="348" w:lineRule="atLeast"/>
      </w:pPr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 xml:space="preserve">Pour Alain </w:t>
      </w:r>
      <w:proofErr w:type="spellStart"/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Vandercruyssen</w:t>
      </w:r>
      <w:proofErr w:type="spellEnd"/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, directeur exécutif de l’activité Démantèlement et Services, « </w:t>
      </w:r>
      <w:r w:rsidRPr="000738B4">
        <w:rPr>
          <w:rFonts w:ascii="Georgia" w:eastAsia="Times New Roman" w:hAnsi="Georgia" w:cs="Helvetica"/>
          <w:i/>
          <w:iCs/>
          <w:color w:val="000000"/>
          <w:sz w:val="20"/>
          <w:lang w:eastAsia="fr-BE"/>
        </w:rPr>
        <w:t>AREVA a démontré sa capacité à réaliser des opérations d’assainissement et de démantèlement complexes. Les innovations et les méthodes d’intervention en zone hautement radioactive mises au point à Cadarache sont autant d’atouts qu’AREVA est désormais en mesure de proposer à ses clients en France et à l’étranger</w:t>
      </w:r>
      <w:r w:rsidRPr="000738B4">
        <w:rPr>
          <w:rFonts w:ascii="Georgia" w:eastAsia="Times New Roman" w:hAnsi="Georgia" w:cs="Helvetica"/>
          <w:color w:val="000000"/>
          <w:sz w:val="20"/>
          <w:lang w:eastAsia="fr-BE"/>
        </w:rPr>
        <w:t> ».</w:t>
      </w:r>
    </w:p>
    <w:sectPr w:rsidR="002361C8" w:rsidSect="009815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38B4"/>
    <w:rsid w:val="00034A98"/>
    <w:rsid w:val="000738B4"/>
    <w:rsid w:val="001D65DF"/>
    <w:rsid w:val="002361C8"/>
    <w:rsid w:val="00282253"/>
    <w:rsid w:val="00325E42"/>
    <w:rsid w:val="003273D9"/>
    <w:rsid w:val="00336472"/>
    <w:rsid w:val="004A3E96"/>
    <w:rsid w:val="0055682A"/>
    <w:rsid w:val="00606B33"/>
    <w:rsid w:val="00624783"/>
    <w:rsid w:val="006C698F"/>
    <w:rsid w:val="007A4602"/>
    <w:rsid w:val="00843E15"/>
    <w:rsid w:val="00867BB6"/>
    <w:rsid w:val="008C4789"/>
    <w:rsid w:val="00906746"/>
    <w:rsid w:val="00981518"/>
    <w:rsid w:val="00A73A98"/>
    <w:rsid w:val="00AF31F3"/>
    <w:rsid w:val="00BC71D6"/>
    <w:rsid w:val="00DC3F90"/>
    <w:rsid w:val="00E200CD"/>
    <w:rsid w:val="00E22FCB"/>
    <w:rsid w:val="00E26BAF"/>
    <w:rsid w:val="00F04A4B"/>
    <w:rsid w:val="00F65100"/>
    <w:rsid w:val="00FF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1C8"/>
  </w:style>
  <w:style w:type="paragraph" w:styleId="Titre1">
    <w:name w:val="heading 1"/>
    <w:basedOn w:val="Normal"/>
    <w:link w:val="Titre1Car"/>
    <w:uiPriority w:val="9"/>
    <w:qFormat/>
    <w:rsid w:val="00073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71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273D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738B4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0738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character" w:styleId="lev">
    <w:name w:val="Strong"/>
    <w:basedOn w:val="Policepardfaut"/>
    <w:uiPriority w:val="22"/>
    <w:qFormat/>
    <w:rsid w:val="000738B4"/>
    <w:rPr>
      <w:b/>
      <w:bCs/>
    </w:rPr>
  </w:style>
  <w:style w:type="character" w:customStyle="1" w:styleId="apple-converted-space">
    <w:name w:val="apple-converted-space"/>
    <w:basedOn w:val="Policepardfaut"/>
    <w:rsid w:val="000738B4"/>
  </w:style>
  <w:style w:type="character" w:styleId="Accentuation">
    <w:name w:val="Emphasis"/>
    <w:basedOn w:val="Policepardfaut"/>
    <w:uiPriority w:val="20"/>
    <w:qFormat/>
    <w:rsid w:val="000738B4"/>
    <w:rPr>
      <w:i/>
      <w:iCs/>
    </w:rPr>
  </w:style>
  <w:style w:type="character" w:customStyle="1" w:styleId="recommended-items-title">
    <w:name w:val="recommended-items-title"/>
    <w:basedOn w:val="Policepardfaut"/>
    <w:rsid w:val="000738B4"/>
  </w:style>
  <w:style w:type="paragraph" w:styleId="Textedebulles">
    <w:name w:val="Balloon Text"/>
    <w:basedOn w:val="Normal"/>
    <w:link w:val="TextedebullesCar"/>
    <w:uiPriority w:val="99"/>
    <w:semiHidden/>
    <w:unhideWhenUsed/>
    <w:rsid w:val="0007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6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4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3D3D3"/>
                <w:right w:val="none" w:sz="0" w:space="0" w:color="auto"/>
              </w:divBdr>
              <w:divsChild>
                <w:div w:id="875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4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414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90426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175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6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7D9D9"/>
                            <w:right w:val="none" w:sz="0" w:space="0" w:color="auto"/>
                          </w:divBdr>
                          <w:divsChild>
                            <w:div w:id="103175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47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58468">
                                          <w:marLeft w:val="0"/>
                                          <w:marRight w:val="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6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52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34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25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45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4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9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03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719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8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en.org/fr/rgn/demantel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fen.org/fr/rgn/mo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4032F-3D77-4983-9211-284C8F72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Company>HP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jvanvliet</dc:creator>
  <cp:lastModifiedBy>Utilisateur</cp:lastModifiedBy>
  <cp:revision>2</cp:revision>
  <dcterms:created xsi:type="dcterms:W3CDTF">2017-07-11T12:08:00Z</dcterms:created>
  <dcterms:modified xsi:type="dcterms:W3CDTF">2017-07-11T12:08:00Z</dcterms:modified>
</cp:coreProperties>
</file>